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60" w:firstLine="2249" w:firstLineChars="800"/>
        <w:rPr>
          <w:rFonts w:hint="eastAsia" w:ascii="仿宋" w:hAnsi="仿宋" w:eastAsia="仿宋"/>
          <w:b/>
          <w:sz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28"/>
        </w:rPr>
        <w:t>长江大学在用办公固定电话统计表</w:t>
      </w:r>
    </w:p>
    <w:p>
      <w:pPr>
        <w:ind w:right="560" w:firstLine="2249" w:firstLineChars="800"/>
        <w:rPr>
          <w:rFonts w:hint="eastAsia" w:ascii="仿宋" w:hAnsi="仿宋" w:eastAsia="仿宋"/>
          <w:b/>
          <w:sz w:val="28"/>
        </w:rPr>
      </w:pPr>
    </w:p>
    <w:p>
      <w:pPr>
        <w:ind w:right="56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单位（公章）：                  联系人：           联系方式：          </w:t>
      </w:r>
    </w:p>
    <w:p>
      <w:pPr>
        <w:ind w:right="5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</w:t>
      </w:r>
    </w:p>
    <w:tbl>
      <w:tblPr>
        <w:tblStyle w:val="2"/>
        <w:tblW w:w="8806" w:type="dxa"/>
        <w:tblInd w:w="-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2978"/>
        <w:gridCol w:w="1935"/>
        <w:gridCol w:w="2032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667" w:type="dxa"/>
            <w:noWrap w:val="0"/>
            <w:vAlign w:val="center"/>
          </w:tcPr>
          <w:p>
            <w:pPr>
              <w:ind w:right="56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tabs>
                <w:tab w:val="left" w:pos="1680"/>
              </w:tabs>
              <w:ind w:right="25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办公楼栋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tabs>
                <w:tab w:val="left" w:pos="1890"/>
              </w:tabs>
              <w:ind w:right="15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办公室门牌号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tabs>
                <w:tab w:val="left" w:pos="1920"/>
              </w:tabs>
              <w:ind w:right="149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固定电话号码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ind w:right="152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67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78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35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32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top"/>
          </w:tcPr>
          <w:p>
            <w:pPr>
              <w:ind w:right="560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06FC0"/>
    <w:rsid w:val="3FA0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2020-04-20T02:12:00Z</dcterms:created>
  <dc:creator>爱笑的天使</dc:creator>
  <cp:lastModifiedBy>爱笑的天使</cp:lastModifiedBy>
  <dcterms:modified xsi:type="dcterms:W3CDTF">2020-04-20T02:13:02Z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